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AKANAZI</w:t>
            </w:r>
          </w:p>
        </w:tc>
        <w:tc>
          <w:tcPr>
            <w:tcW w:type="dxa" w:w="3591"/>
          </w:tcPr>
          <w:p>
            <w:r>
              <w:t>Blandine</w:t>
            </w:r>
          </w:p>
        </w:tc>
        <w:tc>
          <w:tcPr>
            <w:tcW w:type="dxa" w:w="3591"/>
          </w:tcPr>
          <w:p/>
        </w:tc>
      </w:tr>
    </w:tbl>
    <w:p>
      <w:pPr>
        <w:pStyle w:val="Titre1"/>
      </w:pPr>
      <w:r>
        <w:t>Informations générales</w:t>
      </w:r>
    </w:p>
    <w:p>
      <w:r>
        <w:t xml:space="preserve">Motivations pour changer de poste : </w:t>
      </w:r>
    </w:p>
    <w:p>
      <w:r>
        <w:t>Disponibilité : 3 mois</w:t>
      </w:r>
    </w:p>
    <w:p>
      <w:r>
        <w:t xml:space="preserve">Mobilité : Zone Lyon     Agence : Lyon </w:t>
      </w:r>
    </w:p>
    <w:p>
      <w:r>
        <w:t>Statut actuel : Salarié</w:t>
      </w:r>
    </w:p>
    <w:p>
      <w:r>
        <w:t>Prétentions salariales : 33000€ - 35000€</w:t>
      </w:r>
    </w:p>
    <w:p>
      <w:r>
        <w:t xml:space="preserve">Nationalité : France     Permis de travail : </w:t>
      </w:r>
    </w:p>
    <w:p>
      <w:r>
        <w:t>Permis de conduire : Non     Véhicule : Non</w:t>
      </w:r>
    </w:p>
    <w:p>
      <w:pPr>
        <w:pStyle w:val="Titre1"/>
      </w:pPr>
      <w:r>
        <w:t>Recherche d'emploi</w:t>
      </w:r>
    </w:p>
    <w:p>
      <w:r>
        <w:t>Recherche  : Active</w:t>
      </w:r>
    </w:p>
    <w:p>
      <w:r>
        <w:t>Avancement de la recherche : quelques process en cours</w:t>
      </w:r>
    </w:p>
    <w:p>
      <w:r>
        <w:t>Postes recherchés : chargée de recrutement</w:t>
      </w:r>
    </w:p>
    <w:p>
      <w:r>
        <w:t>Secteurs d'activités souhaités : pas de préférence</w:t>
      </w:r>
    </w:p>
    <w:p>
      <w:pPr>
        <w:pStyle w:val="Titre1"/>
      </w:pPr>
      <w:r>
        <w:t>Compétences Linguistiques</w:t>
      </w:r>
    </w:p>
    <w:p>
      <w:r>
        <w:t>Langue 1 : Anglais     Niveau : courant</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Formation et parcours</w:t>
        <w:br/>
        <w:br/>
        <w:t>Diplômée d’un Master en Management</w:t>
        <w:br/>
        <w:t xml:space="preserve"> en 2019</w:t>
        <w:br/>
        <w:t>.</w:t>
        <w:br/>
        <w:t>Rejoint Sia Partners</w:t>
        <w:br/>
        <w:t xml:space="preserve"> en février 2020</w:t>
        <w:br/>
        <w:t>.</w:t>
        <w:br/>
        <w:br/>
        <w:br/>
        <w:t>Expérience chez Sia Partners</w:t>
        <w:br/>
        <w:br/>
        <w:t>Première année – Gestion complète des process de recrutement</w:t>
        <w:br/>
        <w:t>Gestion d’environ 2 000 process candidats</w:t>
        <w:br/>
        <w:t xml:space="preserve"> sur l’année.</w:t>
        <w:br/>
        <w:t>Chaque process comprend 4 entretiens</w:t>
        <w:br/>
        <w:t>.</w:t>
        <w:br/>
        <w:t>Réception et tri des candidatures.</w:t>
        <w:br/>
        <w:t>Évaluation des profils et validation avec les directeurs.</w:t>
        <w:br/>
        <w:t>Planification des entretiens RH.</w:t>
        <w:br/>
        <w:t>Communication des retours aux candidats (positifs comme négatifs).</w:t>
        <w:br/>
        <w:t>Organisation de la suite du process selon les décisions prises, et ce jusqu’à la fin du recrutement.</w:t>
        <w:br/>
        <w:br/>
        <w:br/>
        <w:t>À partir de la deuxième année – Chasse et recrutement actif</w:t>
        <w:br/>
        <w:t>Recueil des besoins</w:t>
        <w:br/>
        <w:t>Collecte des besoins auprès des business partners</w:t>
        <w:br/>
        <w:t>.</w:t>
        <w:br/>
        <w:br/>
        <w:t>Sourcing et chasse</w:t>
        <w:br/>
        <w:t>Identification des profils sur LinkedIn</w:t>
        <w:br/>
        <w:t>.</w:t>
        <w:br/>
        <w:t>Prise de contact directe avec les candidats.</w:t>
        <w:br/>
        <w:br/>
        <w:t>Process de recrutement</w:t>
        <w:br/>
        <w:t>Entretien RH téléphonique (30 à 45 minutes).</w:t>
        <w:br/>
        <w:t>Puis entretiens via Teams ou en présentiel, incluant :</w:t>
        <w:br/>
        <w:t>Une mise en situation.</w:t>
        <w:br/>
        <w:t>Un entretien avec un manager.</w:t>
        <w:br/>
        <w:t>Un entretien avec le directeur de l’équipe.</w:t>
        <w:br/>
        <w:t>Organisation complète du process en 4 étapes</w:t>
        <w:br/>
        <w:t>.</w:t>
        <w:br/>
        <w:br/>
        <w:t>Finalisation</w:t>
        <w:br/>
        <w:t>Récupération des éléments contractuels.</w:t>
        <w:br/>
        <w:t>Transmission au service RH pour l’édition des contrats.</w:t>
        <w:br/>
        <w:br/>
        <w:br/>
        <w:t>Profils et périmètre recrutés</w:t>
        <w:br/>
        <w:t>Consultants :</w:t>
        <w:br/>
        <w:t>Data scientists</w:t>
        <w:br/>
        <w:t>Banque</w:t>
        <w:br/>
        <w:t>Énergie</w:t>
        <w:br/>
        <w:t>Actuariat</w:t>
        <w:br/>
        <w:t>Compliance</w:t>
        <w:br/>
        <w:t>Cybersécurité</w:t>
        <w:br/>
        <w:t>Secteurs : public et service public.</w:t>
        <w:br/>
        <w:t>Recrutement sur profil</w:t>
        <w:br/>
        <w:t xml:space="preserve"> plutôt que sur projet.</w:t>
        <w:br/>
        <w:t>Postes du junior au partner</w:t>
        <w:br/>
        <w:t>, selon les besoins.</w:t>
        <w:br/>
        <w:t>Clients : grands groupes (ex : K40</w:t>
        <w:br/>
        <w:t>).</w:t>
        <w:br/>
        <w:t>Objectif annuel : 13 à 15 recrutements</w:t>
        <w:br/>
        <w:t>.</w:t>
        <w:br/>
        <w:t>Activité hebdomadaire :</w:t>
        <w:br/>
        <w:t>60 à 65 candidats contactés par semaine.</w:t>
        <w:br/>
        <w:t>Objectif de 5 entretiens par semaine.</w:t>
        <w:br/>
        <w:br/>
        <w:br/>
        <w:t>Autres responsabilités</w:t>
        <w:br/>
        <w:t>Gestion des candidatures pour plusieurs Business Units</w:t>
        <w:br/>
        <w:t>.</w:t>
        <w:br/>
        <w:t>Recrutement pendant un an pour l’Italie</w:t>
        <w:br/>
        <w:t>, avec pour objectif d’uniformiser les pratiques</w:t>
        <w:br/>
        <w:t xml:space="preserve"> entre la France et l’Italie.</w:t>
        <w:br/>
        <w:br/>
        <w:br/>
        <w:t>Anecdote marquante</w:t>
        <w:br/>
        <w:br/>
        <w:t>Gestion d’un premier retour négatif à un candidat qui l’a très mal vécu.</w:t>
        <w:br/>
        <w:t>Situation délicate nécessitant du sang-froid</w:t>
        <w:br/>
        <w:t xml:space="preserve">, une communication factuelle et une posture professionnelle. Elle s'est également rapprochée du consultant qui l'avaient vu dans le process sur l'évaluation technique et il a pu appeler le candidat mécontent pour appuyer son retour. </w:t>
        <w:br/>
        <w:br/>
        <w:br/>
        <w:t>Attentes professionnelles</w:t>
        <w:br/>
        <w:br/>
        <w:t>Continuer à évoluer dans le recrutement</w:t>
        <w:br/>
        <w:t>.</w:t>
        <w:br/>
        <w:t>Travailler sur des projets variés</w:t>
        <w:br/>
        <w:t>.</w:t>
        <w:br/>
        <w:t>Développer la partie suivi de carrière</w:t>
        <w:br/>
        <w:t>, pour accompagner ses recrues sur la durée.</w:t>
        <w:br/>
        <w:t>Intégrer une structure plus petite</w:t>
        <w:br/>
        <w:t>, afin de contribuer activement à l’ambition de croissance de l’entreprise.</w:t>
        <w:br/>
        <w:br/>
        <w:br/>
        <w:t>Attentes vis-à-vis du management</w:t>
        <w:br/>
        <w:br/>
        <w:t>Accompagnement de proximité.</w:t>
        <w:br/>
        <w:t>Manager à l’écoute.</w:t>
        <w:br/>
        <w:t>Être impliquée dans différents projets transverses si besoin.</w:t>
        <w:br/>
        <w:t>Possibilités d’évolution au sein de l’équipe.</w:t>
        <w:br/>
        <w:br/>
        <w:br/>
        <w:t>Profil et savoir-être</w:t>
        <w:br/>
        <w:br/>
        <w:t>Souriante et agréable.</w:t>
        <w:br/>
        <w:t>Calme et posée.</w:t>
        <w:br/>
        <w:t>Capable de rester très concentrée sur ses tâches.</w:t>
        <w:br/>
        <w:t>Apprécie les temps d’échange avec l’équipe.</w:t>
        <w:br/>
        <w:t>Fort sens du service</w:t>
        <w:br/>
        <w:t>.</w:t>
        <w:br/>
        <w:t>Volonté de bien faire et de répondre au mieux aux besoins des équipes.</w:t>
        <w:br/>
        <w:br/>
        <w:br/>
        <w:t>Organisation et rythme de travail</w:t>
        <w:br/>
        <w:br/>
        <w:t>Gestion autonome de son emploi du temps.</w:t>
        <w:br/>
        <w:t>Temps de travail : 37h30</w:t>
        <w:br/>
        <w:t>.</w:t>
        <w:br/>
        <w:t>Ok avec le rythme proposé.</w:t>
        <w:br/>
        <w:br/>
        <w:br/>
        <w:t>Projection sur le poste à pourvoir</w:t>
        <w:br/>
        <w:br/>
        <w:t>Identification et sourcing de profils.</w:t>
        <w:br/>
        <w:t>Prise de contact candidats.</w:t>
        <w:br/>
        <w:t>Préqualification puis entretiens clients.</w:t>
        <w:br/>
        <w:t>Réalisation des suivis de carrière.</w:t>
        <w:br/>
        <w:t>Développement des relations écoles : animation d’ateliers et de conférences.</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Projet/Poste,Perspective d'évolution</w:t>
      </w:r>
    </w:p>
    <w:p>
      <w:pPr>
        <w:pStyle w:val="Titre1"/>
      </w:pPr>
      <w:r>
        <w:t>Mots Clés Boond</w:t>
      </w:r>
    </w:p>
    <w:p>
      <w:r>
        <w:t>Métier(s) : chargée de recrutement confirmée</w:t>
      </w:r>
    </w:p>
    <w:p>
      <w:r>
        <w:t xml:space="preserve">Logiciel(s) / Outil(s) :  </w:t>
      </w:r>
    </w:p>
    <w:p>
      <w:r>
        <w:t xml:space="preserve">Entreprise(s) : </w:t>
      </w:r>
    </w:p>
    <w:p>
      <w:r>
        <w:t xml:space="preserve">Domaines : </w:t>
      </w:r>
    </w:p>
    <w:p>
      <w:r>
        <w:t xml:space="preserve">Commentaires suite à l'entretien : Blandine présente bien, elle s'exprime bien et est structurée dans sa présentation. Elle pose des questions pertinente et connait le fonctionnement en ESN. Elle ne connait cependant pas les métiers car elle vient de l'IT mais est intéressait par le fait d'apprendre de nouveaux métiers. </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